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4407" w:rsidRPr="00705178" w:rsidRDefault="00524407" w:rsidP="00524407">
      <w:pPr>
        <w:pStyle w:val="Ttulo2"/>
        <w:spacing w:after="240"/>
        <w:jc w:val="center"/>
        <w:rPr>
          <w:rFonts w:asciiTheme="minorHAnsi" w:hAnsiTheme="minorHAnsi"/>
          <w:color w:val="262626" w:themeColor="text1" w:themeTint="D9"/>
        </w:rPr>
      </w:pPr>
      <w:bookmarkStart w:id="0" w:name="_Toc515042403"/>
      <w:r w:rsidRPr="00705178">
        <w:rPr>
          <w:rFonts w:asciiTheme="minorHAnsi" w:hAnsiTheme="minorHAnsi"/>
          <w:color w:val="262626" w:themeColor="text1" w:themeTint="D9"/>
        </w:rPr>
        <w:t>Anexo 8. Resultado de las acciones para atender los Aspectos Susceptibles de Mejora</w:t>
      </w:r>
      <w:bookmarkEnd w:id="0"/>
    </w:p>
    <w:p w:rsidR="00524407" w:rsidRPr="00705178" w:rsidRDefault="00524407" w:rsidP="00524407">
      <w:pPr>
        <w:autoSpaceDE w:val="0"/>
        <w:autoSpaceDN w:val="0"/>
        <w:adjustRightInd w:val="0"/>
        <w:jc w:val="both"/>
        <w:rPr>
          <w:color w:val="262626" w:themeColor="text1" w:themeTint="D9"/>
        </w:rPr>
      </w:pPr>
      <w:r>
        <w:rPr>
          <w:color w:val="262626" w:themeColor="text1" w:themeTint="D9"/>
        </w:rPr>
        <w:t>En el siguiente cuadro se resumen los resultados de las acciones para atender los ASM.</w:t>
      </w:r>
    </w:p>
    <w:tbl>
      <w:tblPr>
        <w:tblStyle w:val="Tablaconcuadrcula"/>
        <w:tblW w:w="0" w:type="auto"/>
        <w:jc w:val="center"/>
        <w:tblLook w:val="04A0" w:firstRow="1" w:lastRow="0" w:firstColumn="1" w:lastColumn="0" w:noHBand="0" w:noVBand="1"/>
      </w:tblPr>
      <w:tblGrid>
        <w:gridCol w:w="1455"/>
        <w:gridCol w:w="1478"/>
        <w:gridCol w:w="1468"/>
        <w:gridCol w:w="1469"/>
        <w:gridCol w:w="1471"/>
        <w:gridCol w:w="1487"/>
      </w:tblGrid>
      <w:tr w:rsidR="00524407" w:rsidRPr="00956461" w:rsidTr="00CD36EA">
        <w:trPr>
          <w:tblHeader/>
          <w:jc w:val="center"/>
        </w:trPr>
        <w:tc>
          <w:tcPr>
            <w:tcW w:w="1455" w:type="dxa"/>
            <w:shd w:val="clear" w:color="auto" w:fill="44546A" w:themeFill="text2"/>
            <w:vAlign w:val="center"/>
          </w:tcPr>
          <w:p w:rsidR="00524407" w:rsidRPr="00956461" w:rsidRDefault="00524407" w:rsidP="00CD36EA">
            <w:pPr>
              <w:autoSpaceDE w:val="0"/>
              <w:autoSpaceDN w:val="0"/>
              <w:adjustRightInd w:val="0"/>
              <w:rPr>
                <w:rFonts w:cstheme="minorHAnsi"/>
                <w:b/>
                <w:color w:val="FFFFFF" w:themeColor="background1"/>
                <w:sz w:val="18"/>
                <w:szCs w:val="18"/>
              </w:rPr>
            </w:pPr>
            <w:r w:rsidRPr="00956461">
              <w:rPr>
                <w:rFonts w:cstheme="minorHAnsi"/>
                <w:b/>
                <w:color w:val="FFFFFF" w:themeColor="background1"/>
                <w:sz w:val="18"/>
                <w:szCs w:val="18"/>
              </w:rPr>
              <w:t>Fuente</w:t>
            </w:r>
          </w:p>
        </w:tc>
        <w:tc>
          <w:tcPr>
            <w:tcW w:w="1478" w:type="dxa"/>
            <w:shd w:val="clear" w:color="auto" w:fill="44546A" w:themeFill="text2"/>
            <w:vAlign w:val="center"/>
          </w:tcPr>
          <w:p w:rsidR="00524407" w:rsidRPr="00956461" w:rsidRDefault="00524407" w:rsidP="00CD36EA">
            <w:pPr>
              <w:autoSpaceDE w:val="0"/>
              <w:autoSpaceDN w:val="0"/>
              <w:adjustRightInd w:val="0"/>
              <w:rPr>
                <w:rFonts w:cstheme="minorHAnsi"/>
                <w:b/>
                <w:color w:val="FFFFFF" w:themeColor="background1"/>
                <w:sz w:val="18"/>
                <w:szCs w:val="18"/>
              </w:rPr>
            </w:pPr>
            <w:r w:rsidRPr="00956461">
              <w:rPr>
                <w:rFonts w:cstheme="minorHAnsi"/>
                <w:b/>
                <w:color w:val="FFFFFF" w:themeColor="background1"/>
                <w:sz w:val="18"/>
                <w:szCs w:val="18"/>
              </w:rPr>
              <w:t>Aspecto susceptible o compromiso de mejora</w:t>
            </w:r>
          </w:p>
        </w:tc>
        <w:tc>
          <w:tcPr>
            <w:tcW w:w="1468" w:type="dxa"/>
            <w:shd w:val="clear" w:color="auto" w:fill="44546A" w:themeFill="text2"/>
            <w:vAlign w:val="center"/>
          </w:tcPr>
          <w:p w:rsidR="00524407" w:rsidRPr="00956461" w:rsidRDefault="00524407" w:rsidP="00CD36EA">
            <w:pPr>
              <w:autoSpaceDE w:val="0"/>
              <w:autoSpaceDN w:val="0"/>
              <w:adjustRightInd w:val="0"/>
              <w:rPr>
                <w:rFonts w:cstheme="minorHAnsi"/>
                <w:b/>
                <w:color w:val="FFFFFF" w:themeColor="background1"/>
                <w:sz w:val="18"/>
                <w:szCs w:val="18"/>
              </w:rPr>
            </w:pPr>
            <w:r w:rsidRPr="00956461">
              <w:rPr>
                <w:rFonts w:cstheme="minorHAnsi"/>
                <w:b/>
                <w:color w:val="FFFFFF" w:themeColor="background1"/>
                <w:sz w:val="18"/>
                <w:szCs w:val="18"/>
              </w:rPr>
              <w:t>Resultado esperado</w:t>
            </w:r>
          </w:p>
        </w:tc>
        <w:tc>
          <w:tcPr>
            <w:tcW w:w="1469" w:type="dxa"/>
            <w:shd w:val="clear" w:color="auto" w:fill="44546A" w:themeFill="text2"/>
            <w:vAlign w:val="center"/>
          </w:tcPr>
          <w:p w:rsidR="00524407" w:rsidRPr="00956461" w:rsidRDefault="00524407" w:rsidP="00CD36EA">
            <w:pPr>
              <w:autoSpaceDE w:val="0"/>
              <w:autoSpaceDN w:val="0"/>
              <w:adjustRightInd w:val="0"/>
              <w:rPr>
                <w:rFonts w:cstheme="minorHAnsi"/>
                <w:b/>
                <w:color w:val="FFFFFF" w:themeColor="background1"/>
                <w:sz w:val="18"/>
                <w:szCs w:val="18"/>
              </w:rPr>
            </w:pPr>
            <w:r w:rsidRPr="00956461">
              <w:rPr>
                <w:rFonts w:cstheme="minorHAnsi"/>
                <w:b/>
                <w:color w:val="FFFFFF" w:themeColor="background1"/>
                <w:sz w:val="18"/>
                <w:szCs w:val="18"/>
              </w:rPr>
              <w:t>¿El resultado obtenido coincide con el resultado esperado?</w:t>
            </w:r>
          </w:p>
        </w:tc>
        <w:tc>
          <w:tcPr>
            <w:tcW w:w="1471" w:type="dxa"/>
            <w:shd w:val="clear" w:color="auto" w:fill="44546A" w:themeFill="text2"/>
            <w:vAlign w:val="center"/>
          </w:tcPr>
          <w:p w:rsidR="00524407" w:rsidRPr="00956461" w:rsidRDefault="00524407" w:rsidP="00CD36EA">
            <w:pPr>
              <w:autoSpaceDE w:val="0"/>
              <w:autoSpaceDN w:val="0"/>
              <w:adjustRightInd w:val="0"/>
              <w:rPr>
                <w:rFonts w:cstheme="minorHAnsi"/>
                <w:b/>
                <w:color w:val="FFFFFF" w:themeColor="background1"/>
                <w:sz w:val="18"/>
                <w:szCs w:val="18"/>
              </w:rPr>
            </w:pPr>
            <w:r w:rsidRPr="00956461">
              <w:rPr>
                <w:rFonts w:cstheme="minorHAnsi"/>
                <w:b/>
                <w:color w:val="FFFFFF" w:themeColor="background1"/>
                <w:sz w:val="18"/>
                <w:szCs w:val="18"/>
              </w:rPr>
              <w:t xml:space="preserve">¿La evidencia permite dar cuenta </w:t>
            </w:r>
            <w:proofErr w:type="gramStart"/>
            <w:r w:rsidRPr="00956461">
              <w:rPr>
                <w:rFonts w:cstheme="minorHAnsi"/>
                <w:b/>
                <w:color w:val="FFFFFF" w:themeColor="background1"/>
                <w:sz w:val="18"/>
                <w:szCs w:val="18"/>
              </w:rPr>
              <w:t>del  resultado</w:t>
            </w:r>
            <w:proofErr w:type="gramEnd"/>
            <w:r w:rsidRPr="00956461">
              <w:rPr>
                <w:rFonts w:cstheme="minorHAnsi"/>
                <w:b/>
                <w:color w:val="FFFFFF" w:themeColor="background1"/>
                <w:sz w:val="18"/>
                <w:szCs w:val="18"/>
              </w:rPr>
              <w:t>?</w:t>
            </w:r>
          </w:p>
        </w:tc>
        <w:tc>
          <w:tcPr>
            <w:tcW w:w="1487" w:type="dxa"/>
            <w:shd w:val="clear" w:color="auto" w:fill="44546A" w:themeFill="text2"/>
            <w:vAlign w:val="center"/>
          </w:tcPr>
          <w:p w:rsidR="00524407" w:rsidRPr="00956461" w:rsidRDefault="00524407" w:rsidP="00CD36EA">
            <w:pPr>
              <w:autoSpaceDE w:val="0"/>
              <w:autoSpaceDN w:val="0"/>
              <w:adjustRightInd w:val="0"/>
              <w:rPr>
                <w:rFonts w:cstheme="minorHAnsi"/>
                <w:b/>
                <w:color w:val="FFFFFF" w:themeColor="background1"/>
                <w:sz w:val="18"/>
                <w:szCs w:val="18"/>
              </w:rPr>
            </w:pPr>
            <w:r w:rsidRPr="00956461">
              <w:rPr>
                <w:rFonts w:cstheme="minorHAnsi"/>
                <w:b/>
                <w:color w:val="FFFFFF" w:themeColor="background1"/>
                <w:sz w:val="18"/>
                <w:szCs w:val="18"/>
              </w:rPr>
              <w:t>Efectos adicionales no detectados inicialmente / Observaciones</w:t>
            </w:r>
          </w:p>
        </w:tc>
      </w:tr>
      <w:tr w:rsidR="00524407" w:rsidRPr="00956461" w:rsidTr="00CD36EA">
        <w:trPr>
          <w:cantSplit/>
          <w:jc w:val="center"/>
        </w:trPr>
        <w:tc>
          <w:tcPr>
            <w:tcW w:w="1455" w:type="dxa"/>
          </w:tcPr>
          <w:p w:rsidR="00524407" w:rsidRPr="00956461" w:rsidRDefault="00524407" w:rsidP="00CD36EA">
            <w:pPr>
              <w:rPr>
                <w:rFonts w:cstheme="minorHAnsi"/>
                <w:sz w:val="18"/>
                <w:szCs w:val="18"/>
              </w:rPr>
            </w:pPr>
            <w:r w:rsidRPr="00956461">
              <w:rPr>
                <w:rFonts w:cstheme="minorHAnsi"/>
                <w:sz w:val="18"/>
                <w:szCs w:val="18"/>
              </w:rPr>
              <w:t>Seguimiento a Aspectos Susceptibles de Mejora Clasificados Como Específicos, Derivados de Informes Y Evaluaciones Externas mar-17</w:t>
            </w:r>
          </w:p>
        </w:tc>
        <w:tc>
          <w:tcPr>
            <w:tcW w:w="1478" w:type="dxa"/>
          </w:tcPr>
          <w:p w:rsidR="00524407" w:rsidRPr="00956461" w:rsidRDefault="00524407" w:rsidP="00CD36EA">
            <w:pPr>
              <w:rPr>
                <w:rFonts w:cstheme="minorHAnsi"/>
                <w:sz w:val="18"/>
                <w:szCs w:val="18"/>
              </w:rPr>
            </w:pPr>
            <w:r w:rsidRPr="00956461">
              <w:rPr>
                <w:rFonts w:cstheme="minorHAnsi"/>
                <w:sz w:val="18"/>
                <w:szCs w:val="18"/>
              </w:rPr>
              <w:t xml:space="preserve"> Proporcionar las justificaciones del avance de metas y diseñar la metodología para calcular las metas del programa</w:t>
            </w:r>
          </w:p>
        </w:tc>
        <w:tc>
          <w:tcPr>
            <w:tcW w:w="1468" w:type="dxa"/>
          </w:tcPr>
          <w:p w:rsidR="00524407" w:rsidRPr="00956461" w:rsidRDefault="00524407" w:rsidP="00CD36EA">
            <w:pPr>
              <w:rPr>
                <w:rFonts w:cstheme="minorHAnsi"/>
                <w:sz w:val="18"/>
                <w:szCs w:val="18"/>
              </w:rPr>
            </w:pPr>
            <w:r w:rsidRPr="00956461">
              <w:rPr>
                <w:rFonts w:cstheme="minorHAnsi"/>
                <w:sz w:val="18"/>
                <w:szCs w:val="18"/>
              </w:rPr>
              <w:t>Identificar una metodología que permita el cálculo de las metas del programa</w:t>
            </w:r>
          </w:p>
        </w:tc>
        <w:tc>
          <w:tcPr>
            <w:tcW w:w="1469" w:type="dxa"/>
          </w:tcPr>
          <w:p w:rsidR="00524407" w:rsidRPr="00956461" w:rsidRDefault="00524407" w:rsidP="00CD36EA">
            <w:pPr>
              <w:rPr>
                <w:rFonts w:cstheme="minorHAnsi"/>
                <w:sz w:val="18"/>
                <w:szCs w:val="18"/>
              </w:rPr>
            </w:pPr>
            <w:r w:rsidRPr="00956461">
              <w:rPr>
                <w:rFonts w:cstheme="minorHAnsi"/>
                <w:sz w:val="18"/>
                <w:szCs w:val="18"/>
              </w:rPr>
              <w:t xml:space="preserve">Sí </w:t>
            </w:r>
          </w:p>
        </w:tc>
        <w:tc>
          <w:tcPr>
            <w:tcW w:w="1471" w:type="dxa"/>
          </w:tcPr>
          <w:p w:rsidR="00524407" w:rsidRPr="00956461" w:rsidRDefault="00524407" w:rsidP="00CD36EA">
            <w:pPr>
              <w:rPr>
                <w:rFonts w:cstheme="minorHAnsi"/>
                <w:sz w:val="18"/>
                <w:szCs w:val="18"/>
              </w:rPr>
            </w:pPr>
            <w:r w:rsidRPr="00956461">
              <w:rPr>
                <w:rFonts w:cstheme="minorHAnsi"/>
                <w:sz w:val="18"/>
                <w:szCs w:val="18"/>
              </w:rPr>
              <w:t>Sí</w:t>
            </w:r>
          </w:p>
        </w:tc>
        <w:tc>
          <w:tcPr>
            <w:tcW w:w="1487" w:type="dxa"/>
          </w:tcPr>
          <w:p w:rsidR="00524407" w:rsidRPr="00956461" w:rsidRDefault="00524407" w:rsidP="00CD36EA">
            <w:pPr>
              <w:rPr>
                <w:rFonts w:cstheme="minorHAnsi"/>
                <w:sz w:val="18"/>
                <w:szCs w:val="18"/>
              </w:rPr>
            </w:pPr>
            <w:r w:rsidRPr="00956461">
              <w:rPr>
                <w:rFonts w:cstheme="minorHAnsi"/>
                <w:sz w:val="18"/>
                <w:szCs w:val="18"/>
              </w:rPr>
              <w:t>No</w:t>
            </w:r>
          </w:p>
        </w:tc>
      </w:tr>
      <w:tr w:rsidR="00524407" w:rsidRPr="00956461" w:rsidTr="00CD36EA">
        <w:trPr>
          <w:cantSplit/>
          <w:jc w:val="center"/>
        </w:trPr>
        <w:tc>
          <w:tcPr>
            <w:tcW w:w="1455" w:type="dxa"/>
          </w:tcPr>
          <w:p w:rsidR="00524407" w:rsidRPr="00956461" w:rsidRDefault="00524407" w:rsidP="00CD36EA">
            <w:pPr>
              <w:rPr>
                <w:rFonts w:cstheme="minorHAnsi"/>
                <w:sz w:val="18"/>
                <w:szCs w:val="18"/>
              </w:rPr>
            </w:pPr>
            <w:r w:rsidRPr="00956461">
              <w:rPr>
                <w:rFonts w:cstheme="minorHAnsi"/>
                <w:sz w:val="18"/>
                <w:szCs w:val="18"/>
              </w:rPr>
              <w:t>Seguimiento a Aspectos Susceptibles de Mejora Clasificados Como Específicos, Derivados de Informes Y Evaluaciones Externas mar-17</w:t>
            </w:r>
          </w:p>
        </w:tc>
        <w:tc>
          <w:tcPr>
            <w:tcW w:w="1478" w:type="dxa"/>
          </w:tcPr>
          <w:p w:rsidR="00524407" w:rsidRPr="00956461" w:rsidRDefault="00524407" w:rsidP="00CD36EA">
            <w:pPr>
              <w:rPr>
                <w:rFonts w:cstheme="minorHAnsi"/>
                <w:sz w:val="18"/>
                <w:szCs w:val="18"/>
              </w:rPr>
            </w:pPr>
            <w:r w:rsidRPr="00956461">
              <w:rPr>
                <w:rFonts w:cstheme="minorHAnsi"/>
                <w:sz w:val="18"/>
                <w:szCs w:val="18"/>
              </w:rPr>
              <w:t>Redefinición de la población potencial, objetivo y atendida del programa</w:t>
            </w:r>
          </w:p>
        </w:tc>
        <w:tc>
          <w:tcPr>
            <w:tcW w:w="1468" w:type="dxa"/>
          </w:tcPr>
          <w:p w:rsidR="00524407" w:rsidRPr="00956461" w:rsidRDefault="00524407" w:rsidP="00CD36EA">
            <w:pPr>
              <w:rPr>
                <w:rFonts w:cstheme="minorHAnsi"/>
                <w:sz w:val="18"/>
                <w:szCs w:val="18"/>
              </w:rPr>
            </w:pPr>
            <w:r w:rsidRPr="00956461">
              <w:rPr>
                <w:rFonts w:cstheme="minorHAnsi"/>
                <w:sz w:val="18"/>
                <w:szCs w:val="18"/>
              </w:rPr>
              <w:t>Formular definiciones de las poblaciones</w:t>
            </w:r>
          </w:p>
        </w:tc>
        <w:tc>
          <w:tcPr>
            <w:tcW w:w="1469" w:type="dxa"/>
          </w:tcPr>
          <w:p w:rsidR="00524407" w:rsidRPr="00956461" w:rsidRDefault="00524407" w:rsidP="00CD36EA">
            <w:pPr>
              <w:rPr>
                <w:rFonts w:cstheme="minorHAnsi"/>
                <w:sz w:val="18"/>
                <w:szCs w:val="18"/>
              </w:rPr>
            </w:pPr>
            <w:r w:rsidRPr="00956461">
              <w:rPr>
                <w:rFonts w:cstheme="minorHAnsi"/>
                <w:sz w:val="18"/>
                <w:szCs w:val="18"/>
              </w:rPr>
              <w:t>Sí</w:t>
            </w:r>
          </w:p>
        </w:tc>
        <w:tc>
          <w:tcPr>
            <w:tcW w:w="1471" w:type="dxa"/>
          </w:tcPr>
          <w:p w:rsidR="00524407" w:rsidRPr="00956461" w:rsidRDefault="00524407" w:rsidP="00CD36EA">
            <w:pPr>
              <w:rPr>
                <w:rFonts w:cstheme="minorHAnsi"/>
                <w:sz w:val="18"/>
                <w:szCs w:val="18"/>
              </w:rPr>
            </w:pPr>
            <w:r w:rsidRPr="00956461">
              <w:rPr>
                <w:rFonts w:cstheme="minorHAnsi"/>
                <w:sz w:val="18"/>
                <w:szCs w:val="18"/>
              </w:rPr>
              <w:t>Sí</w:t>
            </w:r>
          </w:p>
        </w:tc>
        <w:tc>
          <w:tcPr>
            <w:tcW w:w="1487" w:type="dxa"/>
          </w:tcPr>
          <w:p w:rsidR="00524407" w:rsidRPr="00956461" w:rsidRDefault="00524407" w:rsidP="00CD36EA">
            <w:pPr>
              <w:rPr>
                <w:rFonts w:cstheme="minorHAnsi"/>
                <w:sz w:val="18"/>
                <w:szCs w:val="18"/>
              </w:rPr>
            </w:pPr>
            <w:r w:rsidRPr="00956461">
              <w:rPr>
                <w:rFonts w:cstheme="minorHAnsi"/>
                <w:sz w:val="18"/>
                <w:szCs w:val="18"/>
              </w:rPr>
              <w:t>Sí hay efectos adicionales.</w:t>
            </w:r>
            <w:r>
              <w:rPr>
                <w:rFonts w:cstheme="minorHAnsi"/>
                <w:sz w:val="18"/>
                <w:szCs w:val="18"/>
              </w:rPr>
              <w:t xml:space="preserve"> </w:t>
            </w:r>
            <w:r w:rsidRPr="00956461">
              <w:rPr>
                <w:rFonts w:cstheme="minorHAnsi"/>
                <w:sz w:val="18"/>
                <w:szCs w:val="18"/>
              </w:rPr>
              <w:t>Las definiciones no son las mism</w:t>
            </w:r>
            <w:r>
              <w:rPr>
                <w:rFonts w:cstheme="minorHAnsi"/>
                <w:sz w:val="18"/>
                <w:szCs w:val="18"/>
              </w:rPr>
              <w:t>as en las ROP.</w:t>
            </w:r>
          </w:p>
        </w:tc>
      </w:tr>
      <w:tr w:rsidR="00524407" w:rsidRPr="00956461" w:rsidTr="00CD36EA">
        <w:trPr>
          <w:cantSplit/>
          <w:jc w:val="center"/>
        </w:trPr>
        <w:tc>
          <w:tcPr>
            <w:tcW w:w="1455" w:type="dxa"/>
          </w:tcPr>
          <w:p w:rsidR="00524407" w:rsidRPr="00956461" w:rsidRDefault="00524407" w:rsidP="00CD36EA">
            <w:pPr>
              <w:rPr>
                <w:rFonts w:cstheme="minorHAnsi"/>
                <w:sz w:val="18"/>
                <w:szCs w:val="18"/>
              </w:rPr>
            </w:pPr>
            <w:r w:rsidRPr="00956461">
              <w:rPr>
                <w:rFonts w:cstheme="minorHAnsi"/>
                <w:sz w:val="18"/>
                <w:szCs w:val="18"/>
              </w:rPr>
              <w:lastRenderedPageBreak/>
              <w:t>Seguimiento a Aspectos Susceptibles de Mejora Clasificados Como Específicos, Derivados de Informes Y Evaluaciones Externas mar-18</w:t>
            </w:r>
          </w:p>
        </w:tc>
        <w:tc>
          <w:tcPr>
            <w:tcW w:w="1478" w:type="dxa"/>
          </w:tcPr>
          <w:p w:rsidR="00524407" w:rsidRPr="00956461" w:rsidRDefault="00524407" w:rsidP="00CD36EA">
            <w:pPr>
              <w:rPr>
                <w:rFonts w:cstheme="minorHAnsi"/>
                <w:sz w:val="18"/>
                <w:szCs w:val="18"/>
              </w:rPr>
            </w:pPr>
            <w:r w:rsidRPr="00956461">
              <w:rPr>
                <w:rFonts w:cstheme="minorHAnsi"/>
                <w:sz w:val="18"/>
                <w:szCs w:val="18"/>
              </w:rPr>
              <w:t>Homologar en todos los documentos normativos del programa (Reglas de operación del Programa (ROP), Documento de Diagnóstico, documento de diseño, Ficha de definiciones de poblaciones, Matriz de Indicadores para Resultados (MIR)) las definiciones de poblaciones potencial, objetivo y atendida.</w:t>
            </w:r>
          </w:p>
        </w:tc>
        <w:tc>
          <w:tcPr>
            <w:tcW w:w="1468" w:type="dxa"/>
          </w:tcPr>
          <w:p w:rsidR="00524407" w:rsidRPr="00956461" w:rsidRDefault="00524407" w:rsidP="00CD36EA">
            <w:pPr>
              <w:rPr>
                <w:rFonts w:cstheme="minorHAnsi"/>
                <w:sz w:val="18"/>
                <w:szCs w:val="18"/>
              </w:rPr>
            </w:pPr>
            <w:r w:rsidRPr="00956461">
              <w:rPr>
                <w:rFonts w:cstheme="minorHAnsi"/>
                <w:sz w:val="18"/>
                <w:szCs w:val="18"/>
              </w:rPr>
              <w:t>Contar con la homologación de definición de poblaciones en documentos normativos del Programa S192.</w:t>
            </w:r>
          </w:p>
        </w:tc>
        <w:tc>
          <w:tcPr>
            <w:tcW w:w="1469" w:type="dxa"/>
          </w:tcPr>
          <w:p w:rsidR="00524407" w:rsidRPr="00956461" w:rsidRDefault="00524407" w:rsidP="00CD36EA">
            <w:pPr>
              <w:rPr>
                <w:rFonts w:cstheme="minorHAnsi"/>
                <w:sz w:val="18"/>
                <w:szCs w:val="18"/>
              </w:rPr>
            </w:pPr>
            <w:r w:rsidRPr="00956461">
              <w:rPr>
                <w:rFonts w:cstheme="minorHAnsi"/>
                <w:sz w:val="18"/>
                <w:szCs w:val="18"/>
              </w:rPr>
              <w:t>No</w:t>
            </w:r>
          </w:p>
        </w:tc>
        <w:tc>
          <w:tcPr>
            <w:tcW w:w="1471" w:type="dxa"/>
          </w:tcPr>
          <w:p w:rsidR="00524407" w:rsidRPr="00956461" w:rsidRDefault="00524407" w:rsidP="00CD36EA">
            <w:pPr>
              <w:rPr>
                <w:rFonts w:cstheme="minorHAnsi"/>
                <w:sz w:val="18"/>
                <w:szCs w:val="18"/>
              </w:rPr>
            </w:pPr>
            <w:r w:rsidRPr="00956461">
              <w:rPr>
                <w:rFonts w:cstheme="minorHAnsi"/>
                <w:sz w:val="18"/>
                <w:szCs w:val="18"/>
              </w:rPr>
              <w:t>No</w:t>
            </w:r>
          </w:p>
        </w:tc>
        <w:tc>
          <w:tcPr>
            <w:tcW w:w="1487" w:type="dxa"/>
          </w:tcPr>
          <w:p w:rsidR="00524407" w:rsidRPr="00956461" w:rsidRDefault="00524407" w:rsidP="00CD36EA">
            <w:pPr>
              <w:rPr>
                <w:rFonts w:cstheme="minorHAnsi"/>
                <w:sz w:val="18"/>
                <w:szCs w:val="18"/>
              </w:rPr>
            </w:pPr>
            <w:r w:rsidRPr="00956461">
              <w:rPr>
                <w:rFonts w:cstheme="minorHAnsi"/>
                <w:sz w:val="18"/>
                <w:szCs w:val="18"/>
              </w:rPr>
              <w:t xml:space="preserve">Se emitió un documento metodológico de poblaciones y </w:t>
            </w:r>
            <w:r>
              <w:rPr>
                <w:rFonts w:cstheme="minorHAnsi"/>
                <w:sz w:val="18"/>
                <w:szCs w:val="18"/>
              </w:rPr>
              <w:t>unas nuevas</w:t>
            </w:r>
            <w:r w:rsidRPr="00956461">
              <w:rPr>
                <w:rFonts w:cstheme="minorHAnsi"/>
                <w:sz w:val="18"/>
                <w:szCs w:val="18"/>
              </w:rPr>
              <w:t xml:space="preserve"> ROP, pero ma</w:t>
            </w:r>
            <w:r>
              <w:rPr>
                <w:rFonts w:cstheme="minorHAnsi"/>
                <w:sz w:val="18"/>
                <w:szCs w:val="18"/>
              </w:rPr>
              <w:t>n</w:t>
            </w:r>
            <w:r w:rsidRPr="00956461">
              <w:rPr>
                <w:rFonts w:cstheme="minorHAnsi"/>
                <w:sz w:val="18"/>
                <w:szCs w:val="18"/>
              </w:rPr>
              <w:t xml:space="preserve">tienen diferencias en las definiciones. </w:t>
            </w:r>
          </w:p>
        </w:tc>
      </w:tr>
      <w:tr w:rsidR="00524407" w:rsidRPr="00956461" w:rsidTr="00CD36EA">
        <w:trPr>
          <w:cantSplit/>
          <w:jc w:val="center"/>
        </w:trPr>
        <w:tc>
          <w:tcPr>
            <w:tcW w:w="1455" w:type="dxa"/>
          </w:tcPr>
          <w:p w:rsidR="00524407" w:rsidRPr="00956461" w:rsidRDefault="00524407" w:rsidP="00CD36EA">
            <w:pPr>
              <w:rPr>
                <w:sz w:val="18"/>
              </w:rPr>
            </w:pPr>
            <w:r w:rsidRPr="00956461">
              <w:rPr>
                <w:sz w:val="18"/>
              </w:rPr>
              <w:t xml:space="preserve">Seguimiento a Aspectos Susceptibles de Mejora Clasificados Como Específicos, Derivados de Informes Y Evaluaciones Externas </w:t>
            </w:r>
            <w:proofErr w:type="spellStart"/>
            <w:r w:rsidRPr="00956461">
              <w:rPr>
                <w:sz w:val="18"/>
              </w:rPr>
              <w:t>sep</w:t>
            </w:r>
            <w:proofErr w:type="spellEnd"/>
            <w:r w:rsidRPr="00956461">
              <w:rPr>
                <w:sz w:val="18"/>
              </w:rPr>
              <w:t xml:space="preserve"> 16</w:t>
            </w:r>
          </w:p>
        </w:tc>
        <w:tc>
          <w:tcPr>
            <w:tcW w:w="1478" w:type="dxa"/>
          </w:tcPr>
          <w:p w:rsidR="00524407" w:rsidRPr="00956461" w:rsidRDefault="00524407" w:rsidP="00CD36EA">
            <w:pPr>
              <w:rPr>
                <w:sz w:val="18"/>
              </w:rPr>
            </w:pPr>
            <w:r w:rsidRPr="00956461">
              <w:rPr>
                <w:sz w:val="18"/>
              </w:rPr>
              <w:t>Diseñar un indicador que permita conocer la percepción de los sujetos de apoyo sobre el Programa</w:t>
            </w:r>
          </w:p>
        </w:tc>
        <w:tc>
          <w:tcPr>
            <w:tcW w:w="1468" w:type="dxa"/>
          </w:tcPr>
          <w:p w:rsidR="00524407" w:rsidRPr="00956461" w:rsidRDefault="00524407" w:rsidP="00CD36EA">
            <w:pPr>
              <w:rPr>
                <w:sz w:val="18"/>
              </w:rPr>
            </w:pPr>
            <w:r w:rsidRPr="00956461">
              <w:rPr>
                <w:sz w:val="18"/>
              </w:rPr>
              <w:t>Evaluación de Satisfacción de Beneficiarios del Programa S192 Sectoriales</w:t>
            </w:r>
          </w:p>
        </w:tc>
        <w:tc>
          <w:tcPr>
            <w:tcW w:w="1469" w:type="dxa"/>
          </w:tcPr>
          <w:p w:rsidR="00524407" w:rsidRPr="00956461" w:rsidRDefault="00524407" w:rsidP="00CD36EA">
            <w:pPr>
              <w:rPr>
                <w:sz w:val="18"/>
              </w:rPr>
            </w:pPr>
            <w:r>
              <w:rPr>
                <w:sz w:val="18"/>
              </w:rPr>
              <w:t>Sí</w:t>
            </w:r>
          </w:p>
        </w:tc>
        <w:tc>
          <w:tcPr>
            <w:tcW w:w="1471" w:type="dxa"/>
          </w:tcPr>
          <w:p w:rsidR="00524407" w:rsidRPr="00956461" w:rsidRDefault="00524407" w:rsidP="00CD36EA">
            <w:pPr>
              <w:rPr>
                <w:sz w:val="18"/>
              </w:rPr>
            </w:pPr>
            <w:r>
              <w:rPr>
                <w:sz w:val="18"/>
              </w:rPr>
              <w:t>Sí</w:t>
            </w:r>
          </w:p>
        </w:tc>
        <w:tc>
          <w:tcPr>
            <w:tcW w:w="1487" w:type="dxa"/>
          </w:tcPr>
          <w:p w:rsidR="00524407" w:rsidRPr="00956461" w:rsidRDefault="00524407" w:rsidP="00CD36EA">
            <w:pPr>
              <w:rPr>
                <w:sz w:val="18"/>
              </w:rPr>
            </w:pPr>
            <w:r>
              <w:rPr>
                <w:sz w:val="18"/>
              </w:rPr>
              <w:t>No</w:t>
            </w:r>
          </w:p>
        </w:tc>
      </w:tr>
    </w:tbl>
    <w:p w:rsidR="00524407" w:rsidRPr="00705178" w:rsidRDefault="00524407" w:rsidP="00524407">
      <w:pPr>
        <w:autoSpaceDE w:val="0"/>
        <w:autoSpaceDN w:val="0"/>
        <w:adjustRightInd w:val="0"/>
        <w:jc w:val="both"/>
        <w:rPr>
          <w:color w:val="262626" w:themeColor="text1" w:themeTint="D9"/>
        </w:rPr>
      </w:pPr>
    </w:p>
    <w:p w:rsidR="00524407" w:rsidRPr="00705178" w:rsidRDefault="00524407" w:rsidP="00524407">
      <w:pPr>
        <w:autoSpaceDE w:val="0"/>
        <w:autoSpaceDN w:val="0"/>
        <w:adjustRightInd w:val="0"/>
        <w:jc w:val="both"/>
        <w:rPr>
          <w:color w:val="262626" w:themeColor="text1" w:themeTint="D9"/>
        </w:rPr>
      </w:pPr>
    </w:p>
    <w:p w:rsidR="00B8306D" w:rsidRDefault="00B8306D">
      <w:bookmarkStart w:id="1" w:name="_GoBack"/>
      <w:bookmarkEnd w:id="1"/>
    </w:p>
    <w:sectPr w:rsidR="00B8306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407"/>
    <w:rsid w:val="00414E62"/>
    <w:rsid w:val="00524407"/>
    <w:rsid w:val="00B8306D"/>
    <w:rsid w:val="00D519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67D94A-F239-4783-A9D1-9920B5E96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4407"/>
    <w:pPr>
      <w:spacing w:after="200" w:line="276" w:lineRule="auto"/>
    </w:pPr>
  </w:style>
  <w:style w:type="paragraph" w:styleId="Ttulo2">
    <w:name w:val="heading 2"/>
    <w:basedOn w:val="Normal"/>
    <w:next w:val="Normal"/>
    <w:link w:val="Ttulo2Car"/>
    <w:uiPriority w:val="9"/>
    <w:unhideWhenUsed/>
    <w:qFormat/>
    <w:rsid w:val="00524407"/>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24407"/>
    <w:rPr>
      <w:rFonts w:asciiTheme="majorHAnsi" w:eastAsiaTheme="majorEastAsia" w:hAnsiTheme="majorHAnsi" w:cstheme="majorBidi"/>
      <w:b/>
      <w:bCs/>
      <w:color w:val="4472C4" w:themeColor="accent1"/>
      <w:sz w:val="26"/>
      <w:szCs w:val="26"/>
    </w:rPr>
  </w:style>
  <w:style w:type="table" w:styleId="Tablaconcuadrcula">
    <w:name w:val="Table Grid"/>
    <w:basedOn w:val="Tablanormal"/>
    <w:uiPriority w:val="59"/>
    <w:rsid w:val="005244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1722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Octavio Rios</dc:creator>
  <cp:keywords/>
  <dc:description/>
  <cp:lastModifiedBy>Octavio Rios</cp:lastModifiedBy>
  <cp:revision>1</cp:revision>
  <dcterms:created xsi:type="dcterms:W3CDTF">2018-06-30T02:09:00Z</dcterms:created>
  <dcterms:modified xsi:type="dcterms:W3CDTF">2018-06-30T02:09:00Z</dcterms:modified>
</cp:coreProperties>
</file>